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13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2023 год</w:t>
      </w:r>
    </w:p>
    <w:p>
      <w:pPr>
        <w:pStyle w:val="3"/>
        <w:spacing w:lineRule="auto" w:line="240" w:before="0" w:after="0"/>
        <w:jc w:val="center"/>
        <w:rPr>
          <w:rFonts w:ascii="Times New Roman" w:hAnsi="Times New Roman"/>
          <w:bCs w:val="false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false"/>
          <w:color w:val="auto"/>
          <w:sz w:val="28"/>
          <w:szCs w:val="28"/>
          <w:lang w:eastAsia="ru-RU"/>
        </w:rPr>
      </w:r>
      <w:bookmarkStart w:id="0" w:name="_Toc482266758"/>
      <w:bookmarkStart w:id="1" w:name="_Toc482266758"/>
    </w:p>
    <w:p>
      <w:pPr>
        <w:pStyle w:val="Normal"/>
        <w:spacing w:lineRule="auto" w:line="24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3"/>
        <w:spacing w:lineRule="auto" w:line="240" w:before="0" w:after="0"/>
        <w:jc w:val="center"/>
        <w:rPr>
          <w:rFonts w:ascii="Times New Roman" w:hAnsi="Times New Roman"/>
          <w:bCs w:val="false"/>
          <w:color w:val="auto"/>
          <w:sz w:val="28"/>
          <w:szCs w:val="28"/>
          <w:lang w:eastAsia="ru-RU"/>
        </w:rPr>
      </w:pPr>
      <w:bookmarkStart w:id="2" w:name="_Toc482266758"/>
      <w:r>
        <w:rPr>
          <w:rFonts w:ascii="Times New Roman" w:hAnsi="Times New Roman"/>
          <w:bCs w:val="false"/>
          <w:color w:val="auto"/>
          <w:sz w:val="28"/>
          <w:szCs w:val="28"/>
          <w:lang w:eastAsia="ru-RU"/>
        </w:rPr>
        <w:t>Общие положения</w:t>
      </w:r>
      <w:bookmarkEnd w:id="2"/>
    </w:p>
    <w:p>
      <w:pPr>
        <w:pStyle w:val="Normal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при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2023 год </w:t>
      </w:r>
      <w:r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  <w:br/>
        <w:t xml:space="preserve">от 23 августа 2023 г. № 307 «Об утверждении Порядка организации работы </w:t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  <w:br/>
        <w:t>и атомному надзору».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  <w:br/>
        <w:t>для решения следующих задач: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>
      <w:pPr>
        <w:pStyle w:val="Normal"/>
        <w:spacing w:lineRule="auto" w:line="276" w:before="0" w:after="160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>
      <w:pPr>
        <w:pStyle w:val="Normal"/>
        <w:spacing w:lineRule="auto" w:line="276" w:before="0" w:after="0"/>
        <w:ind w:right="-2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Федеральный закон от 21.07.1997 № 117-ФЗ «Об обеспечении безопасности гидротехнических сооружений»;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Постановление Правительства РФ от 30.06.2021 № 1080 «О федеральном государственном надзоре в области безопасности гидротехнических сооружений».</w:t>
      </w:r>
    </w:p>
    <w:p>
      <w:pPr>
        <w:pStyle w:val="Normal"/>
        <w:spacing w:lineRule="auto" w:line="276" w:before="0" w:after="0"/>
        <w:ind w:right="-2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  <w:br/>
        <w:t xml:space="preserve">№ 401, и Положениемо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сооружений(за исключением судоходных и портовых гидротехнических сооружений) (далее – ГТС).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Общее количество поднадзорных Ростехнадзору ГТС (комплексов ГТС) составляет 1028, из них: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27 ГТС (комплексов ГТС) промышленности;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9 ГТС (комплексов ГТС) энергетики;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992 ГТС (комплексов ГТС) водохозяйственного назначения ГТС.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Количество поднадзорных организаций, эксплуатирующих опасные объекты, составило 559.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В 2023 году аварий на поднадзорных объектах не зарегистрировано.или «зарегистрировано 0 аварии (в 2022 году – 0), 0 несчастных случаев со смертельным исходом (в 2022 году – 0)».</w:t>
      </w:r>
    </w:p>
    <w:tbl>
      <w:tblPr>
        <w:tblStyle w:val="a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45"/>
      </w:tblGrid>
      <w:tr>
        <w:trPr/>
        <w:tc>
          <w:tcPr>
            <w:tcW w:w="9345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ru-RU"/>
              </w:rPr>
              <w:t>В 2023 году аварий на поднадзорных объектах не зарегистрировано.</w:t>
            </w:r>
          </w:p>
        </w:tc>
      </w:tr>
    </w:tbl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 w:eastAsia="Arial Unicode MS"/>
          <w:kern w:val="2"/>
          <w:sz w:val="28"/>
          <w:szCs w:val="28"/>
          <w:lang w:eastAsia="ru-RU"/>
        </w:rPr>
      </w:pPr>
      <w:r>
        <w:rPr>
          <w:rFonts w:eastAsia="Arial Unicode MS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</w:p>
    <w:tbl>
      <w:tblPr>
        <w:tblStyle w:val="a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45"/>
      </w:tblGrid>
      <w:tr>
        <w:trPr/>
        <w:tc>
          <w:tcPr>
            <w:tcW w:w="9345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firstLine="738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ru-RU"/>
              </w:rPr>
              <w:t>В 2023 году аварий и несчастных случаев на поднадзорных объектах не зарегистрировано.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году Ростехнадзором: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 44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декларации безопасности ГТС;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согласовано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формлено и выдано </w:t>
      </w:r>
      <w:r>
        <w:rPr>
          <w:rFonts w:ascii="Times New Roman" w:hAnsi="Times New Roman"/>
          <w:sz w:val="28"/>
          <w:szCs w:val="28"/>
          <w:lang w:eastAsia="ru-RU"/>
        </w:rPr>
        <w:t>35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разрешений на эксплуатацию ГТС;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 Ростехнадзором проведено 74 контрольных (надзорных) мероприятий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(в 2022 году – 98)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>, из них плановых – 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(в 2022 году – 0)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 (в 2022 году – 19)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71 (в 2022 году – 79)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 w:eastAsia="Arial Unicode MS"/>
          <w:kern w:val="2"/>
          <w:sz w:val="28"/>
          <w:szCs w:val="28"/>
          <w:lang w:eastAsia="ru-RU"/>
        </w:rPr>
      </w:pPr>
      <w:r>
        <w:rPr>
          <w:rFonts w:eastAsia="Arial Unicode MS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334 правонарушений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обязательных требований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42 административных наказаний. Административное приостановление деятельности применялось 0 раз, временный запрет деятельности – 0раз.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На нарушителей обязательных требований в области безопасности гидротехнических сооружений наложено 9 административных штрафов. Общая сумма наложенных административных штрафов составила 434,4 тыс. рублей.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2, из них удовлетворено 0.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  <w:br/>
        <w:t>при организации и проведении контрольных (надзорных) мероприятий</w:t>
        <w:br/>
        <w:t>в 2023 году соблюдены.</w:t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обеспечивается соблюдение обязательных требований при эксплуатации гидротехнических сооружений, а также их техническое обслуживание, эксплуатационный контроль и текущий ремонт;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осуществляется оценка безопасности гидротехнического сооружения;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обеспечивается своевременное уточнение критериев безопасности гидротехнического сооружения;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обеспечивается реализация мер по обеспечению безопасности гидротехнических сооружений; не проводится комплексное обследование сооружений с оценкой их прочности, надёжности, устойчивости и эксплуатационной надёжности;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обеспечивается проведение аттестации работников по вопросам безопасности гидротехнических сооружений;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  <w:br/>
        <w:t>и выносов, допускается зарастание откосов и гребня грунтовых сооружений деревьями и кустарниками;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коррозия металлических конструкций механического оборудования ГТС, разрушение антикоррозийной защиты, отсутствие эффективного контроля за эффективностью антикоррозийной защиты.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 мая 2023 г. № 191-ФЗ «О внесении изменений </w:t>
        <w:br/>
        <w:t>в Федеральный закон «О безопасности гидротехнических сооружений и статью 48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Федерации»;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31 октября 2023 г. № 1825 «О внесении изменений в постановление Правительства Российской Федерации от 30 июня 2004 г. № 401»;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 ноября 2023 г. № 1843 «О внесении изменений в Правила проведения государственной экспертизы декларации безопасности гидротехнического сооружения»;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от 29 мая 2023 г. № 197 «Об утверждении формы проверочного листа (списка контрольных вопросов), используемого Федеральной службой по экологическому, технологическому и атомному надзору при проведении плановых выездных проверок в рамках осуществления федерального государственного надзора в области безопасности гидротехнических сооружений»;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Ростехнадзора от 20 июля 2023 г. № 268 «Об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Подготовлены приказы Ростехнадзора от 9 января 2023 г. № 1, </w:t>
        <w:br/>
        <w:t xml:space="preserve">от 17 марта 2023 г. № 120 и от 20 октября 2023 г. № 376 «О внесении изменений в приказ Федеральной службы по экологическому, технологическому и атомному надзору от 2 марта 2021 г. № 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80" w:before="0" w:after="0"/>
        <w:ind w:left="0" w:firstLine="5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Утверждён приказ Ростехнадзора от 21 декабря 2023 г. </w:t>
        <w:br/>
        <w:t>№ 468 «О внесении изменений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Ростехнадзора от 20 июля 2023 г. № 268».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16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  <w:br/>
        <w:t>и эффективности программы профилактики в 2023 году Ростехнадзором на постоянной основе реализовывались следующие мероприятия: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отношении 93 опасных объектов было объявлено 93 предостережения о недопустимости нарушений обязательных требований в области безопасности гидротехнических сооружений;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  <w:br/>
        <w:t>по вопросам, касающимся соблюдения требований безопасности при эксплуатации опасных объектов;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проведены совещания в режиме ВКС;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  <w:br/>
        <w:t>на внедрение и обеспечение соблюдения обязательных требований.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1 заявление</w:t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ind w:firstLine="73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 2023 году, поступило 1  заявление от юридического лица, эксплуатирующего гидротехнические сооружения. Проведена оценка соответствия критериям добросовестности в отношении ГУП «Облинжзащита». По итогам оценки принято решение о несоответствии критериям,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в связи с пониженным уровнем безопасности ГТС.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Информация об оценке добросовестности размещена на сайте и информационных стендах Управления.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обязательных требований по ремонту гидротехнических сооружений;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присвоения регистрационного кода гидротехнических сооружений;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 w:bidi="ru-RU"/>
        </w:rPr>
        <w:t>обязательного страхования гражданской ответственности владельцев гидротехнических сооружений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  <w:r>
        <w:rPr>
          <w:rFonts w:eastAsia="Times New Roman" w:ascii="Times New Roman" w:hAnsi="Times New Roman"/>
          <w:sz w:val="28"/>
          <w:szCs w:val="28"/>
          <w:lang w:eastAsia="ru-RU" w:bidi="ru-RU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оформление документации на эксплуатацию ГТС;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прохождение обучения и аттестации сотрудниками и руководителями эксплуатирующих организаций;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00" w:leader="none"/>
        </w:tabs>
        <w:spacing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порядку  приведения  в соответствие правоустанавливающих документов на гидротехническое сооружение и земельный участок под ним, законности оснований права собственности на земельный участок.</w:t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является: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отсутствие финансирования обязательных мероприятий  по соблюдению требований, установленных в нормативных правовых актах  и нормативных технических документах в области безопасности ГТС. Данная проблема относится к предприятиям всех форм собственности;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отсутствие квалифицированного персонала и достаточной численности служб эксплуатации на объектах;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в связи с чем необходимо повышение эффективности контрольной (надзорной) деятельности, в том числе: 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работы по реализации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709" w:leader="none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709" w:leader="none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обеспечить выполнение нормативных требований отдельных статей              117-ФЗ от 21.07.1997 «О безопасности гидротехнических сооружений», вступающих в силу в 2024 году;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709" w:leader="none"/>
          <w:tab w:val="left" w:pos="851" w:leader="none"/>
          <w:tab w:val="left" w:pos="1000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000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22"/>
        <w:shd w:val="clear" w:color="auto" w:fill="auto"/>
        <w:spacing w:lineRule="auto" w:line="276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  <w:bookmarkStart w:id="3" w:name="_GoBack"/>
      <w:bookmarkStart w:id="4" w:name="_GoBack"/>
      <w:bookmarkEnd w:id="4"/>
    </w:p>
    <w:sectPr>
      <w:headerReference w:type="default" r:id="rId2"/>
      <w:type w:val="nextPage"/>
      <w:pgSz w:w="11906" w:h="16838"/>
      <w:pgMar w:left="1418" w:right="851" w:gutter="0" w:header="709" w:top="1021" w:footer="0" w:bottom="107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03086437"/>
    </w:sdtPr>
    <w:sdtContent>
      <w:p>
        <w:pPr>
          <w:pStyle w:val="Style22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sz w:val="28"/>
            <w:rFonts w:ascii="Times New Roman" w:hAnsi="Times New Roman"/>
          </w:rPr>
          <w:instrText xml:space="preserve"> PAGE </w:instrText>
        </w:r>
        <w:r>
          <w:rPr>
            <w:sz w:val="28"/>
            <w:rFonts w:ascii="Times New Roman" w:hAnsi="Times New Roman"/>
          </w:rPr>
          <w:fldChar w:fldCharType="separate"/>
        </w:r>
        <w:r>
          <w:rPr>
            <w:sz w:val="28"/>
            <w:rFonts w:ascii="Times New Roman" w:hAnsi="Times New Roman"/>
          </w:rPr>
          <w:t>0</w:t>
        </w:r>
        <w:r>
          <w:rPr>
            <w:sz w:val="28"/>
            <w:rFonts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cf6"/>
    <w:pPr>
      <w:widowControl/>
      <w:bidi w:val="0"/>
      <w:spacing w:lineRule="auto" w:line="259" w:before="0" w:after="16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eb7656"/>
    <w:pPr>
      <w:keepNext w:val="true"/>
      <w:keepLines/>
      <w:spacing w:before="200" w:after="0"/>
      <w:outlineLvl w:val="2"/>
    </w:pPr>
    <w:rPr>
      <w:rFonts w:ascii="Calibri Light" w:hAnsi="Calibri Light" w:eastAsia="Times New Roman"/>
      <w:b/>
      <w:bCs/>
      <w:color w:val="4472C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eb7656"/>
    <w:rPr>
      <w:rFonts w:ascii="Calibri Light" w:hAnsi="Calibri Light" w:eastAsia="Times New Roman" w:cs="Times New Roman"/>
      <w:b/>
      <w:bCs/>
      <w:color w:val="4472C4"/>
    </w:rPr>
  </w:style>
  <w:style w:type="character" w:styleId="Style13">
    <w:name w:val="Hyperlink"/>
    <w:uiPriority w:val="99"/>
    <w:unhideWhenUsed/>
    <w:rsid w:val="00e868fb"/>
    <w:rPr>
      <w:color w:val="0563C1"/>
      <w:u w:val="single"/>
    </w:rPr>
  </w:style>
  <w:style w:type="character" w:styleId="2" w:customStyle="1">
    <w:name w:val="Основной текст (2)_"/>
    <w:link w:val="22"/>
    <w:qFormat/>
    <w:rsid w:val="00e868fb"/>
    <w:rPr>
      <w:b/>
      <w:bCs/>
      <w:sz w:val="26"/>
      <w:szCs w:val="26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00614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00614"/>
    <w:rPr>
      <w:rFonts w:ascii="Calibri" w:hAnsi="Calibri" w:eastAsia="Calibri"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sid w:val="00491cfd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2" w:customStyle="1">
    <w:name w:val="Основной текст (2)"/>
    <w:basedOn w:val="Normal"/>
    <w:link w:val="2"/>
    <w:qFormat/>
    <w:rsid w:val="00e868fb"/>
    <w:pPr>
      <w:widowControl w:val="false"/>
      <w:shd w:val="clear" w:color="auto" w:fill="FFFFFF"/>
      <w:spacing w:lineRule="exact" w:line="326" w:before="0" w:after="0"/>
      <w:jc w:val="both"/>
    </w:pPr>
    <w:rPr>
      <w:rFonts w:ascii="Calibri" w:hAnsi="Calibri" w:eastAsia="Calibri" w:cs="" w:asciiTheme="minorHAnsi" w:cstheme="minorBidi" w:eastAsiaTheme="minorHAnsi" w:hAnsiTheme="minorHAns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1d570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006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7006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 w:customStyle="1">
    <w:name w:val="Обычный+14 пт"/>
    <w:basedOn w:val="BodyTextIndent2"/>
    <w:qFormat/>
    <w:rsid w:val="00491cfd"/>
    <w:pPr>
      <w:suppressAutoHyphens w:val="true"/>
      <w:overflowPunct w:val="true"/>
      <w:spacing w:lineRule="auto" w:line="240" w:before="0" w:after="0"/>
      <w:ind w:left="0" w:firstLine="709"/>
      <w:jc w:val="both"/>
      <w:textAlignment w:val="baseline"/>
    </w:pPr>
    <w:rPr>
      <w:rFonts w:ascii="Times New Roman" w:hAnsi="Times New Roman" w:eastAsia="Times New Roman"/>
      <w:spacing w:val="-3"/>
      <w:sz w:val="28"/>
      <w:szCs w:val="28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491cfd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692b2b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c62457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7c1300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d3920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LibreOffice/7.4.2.3$Linux_X86_64 LibreOffice_project/382eef1f22670f7f4118c8c2dd222ec7ad009daf</Application>
  <AppVersion>15.0000</AppVersion>
  <Pages>7</Pages>
  <Words>1565</Words>
  <Characters>12042</Characters>
  <CharactersWithSpaces>13550</CharactersWithSpaces>
  <Paragraphs>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2024-01-19T08:44:00Z</dcterms:created>
  <dc:creator>Некрасов Александр Анатольевич</dc:creator>
  <dc:description/>
  <dc:language>ru-RU</dc:language>
  <cp:lastModifiedBy>User307</cp:lastModifiedBy>
  <cp:lastPrinted>2024-03-25T11:06:00Z</cp:lastPrinted>
  <dcterms:modified xsi:type="dcterms:W3CDTF">2024-03-25T11:06:00Z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